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jc w:val="center"/>
        <w:rPr>
          <w:rFonts w:ascii="Arial" w:hAnsi="Arial" w:cs="Arial"/>
          <w:b/>
          <w:b/>
          <w:i w:val="false"/>
          <w:i w:val="false"/>
          <w:sz w:val="32"/>
          <w:szCs w:val="32"/>
        </w:rPr>
      </w:pPr>
      <w:r>
        <w:rPr>
          <w:rFonts w:cs="Arial" w:ascii="Arial" w:hAnsi="Arial"/>
          <w:b/>
          <w:i w:val="false"/>
          <w:sz w:val="32"/>
          <w:szCs w:val="32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i w:val="false"/>
          <w:i w:val="false"/>
          <w:sz w:val="32"/>
          <w:szCs w:val="32"/>
        </w:rPr>
      </w:pPr>
      <w:r>
        <w:rPr>
          <w:rFonts w:cs="Arial" w:ascii="Arial" w:hAnsi="Arial"/>
          <w:b/>
          <w:i w:val="false"/>
          <w:sz w:val="32"/>
          <w:szCs w:val="32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i w:val="false"/>
          <w:i w:val="false"/>
          <w:sz w:val="32"/>
          <w:szCs w:val="32"/>
        </w:rPr>
      </w:pPr>
      <w:r>
        <w:rPr>
          <w:rFonts w:cs="Arial" w:ascii="Arial" w:hAnsi="Arial"/>
          <w:b/>
          <w:i w:val="false"/>
          <w:sz w:val="32"/>
          <w:szCs w:val="32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i w:val="false"/>
          <w:i w:val="false"/>
          <w:sz w:val="32"/>
          <w:szCs w:val="32"/>
        </w:rPr>
      </w:pPr>
      <w:r>
        <w:rPr>
          <w:rFonts w:cs="Arial" w:ascii="Arial" w:hAnsi="Arial"/>
          <w:b/>
          <w:i w:val="false"/>
          <w:sz w:val="32"/>
          <w:szCs w:val="32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i w:val="false"/>
          <w:i w:val="false"/>
          <w:sz w:val="32"/>
          <w:szCs w:val="32"/>
        </w:rPr>
      </w:pPr>
      <w:r>
        <w:rPr>
          <w:rFonts w:cs="Arial" w:ascii="Arial" w:hAnsi="Arial"/>
          <w:b/>
          <w:i w:val="false"/>
          <w:sz w:val="32"/>
          <w:szCs w:val="32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i w:val="false"/>
          <w:i w:val="false"/>
          <w:sz w:val="32"/>
          <w:szCs w:val="32"/>
        </w:rPr>
      </w:pPr>
      <w:r>
        <w:rPr>
          <w:rFonts w:cs="Arial" w:ascii="Arial" w:hAnsi="Arial"/>
          <w:b/>
          <w:i w:val="false"/>
          <w:sz w:val="32"/>
          <w:szCs w:val="32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i w:val="false"/>
          <w:i w:val="false"/>
          <w:sz w:val="32"/>
          <w:szCs w:val="32"/>
        </w:rPr>
      </w:pPr>
      <w:r>
        <w:rPr>
          <w:rFonts w:cs="Arial" w:ascii="Arial" w:hAnsi="Arial"/>
          <w:b/>
          <w:i w:val="false"/>
          <w:sz w:val="32"/>
          <w:szCs w:val="32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i w:val="false"/>
          <w:i w:val="false"/>
          <w:sz w:val="32"/>
          <w:szCs w:val="32"/>
        </w:rPr>
      </w:pPr>
      <w:r>
        <w:rPr>
          <w:rFonts w:cs="Arial" w:ascii="Arial" w:hAnsi="Arial"/>
          <w:b/>
          <w:i w:val="false"/>
          <w:sz w:val="32"/>
          <w:szCs w:val="32"/>
        </w:rPr>
      </w:r>
    </w:p>
    <w:p>
      <w:pPr>
        <w:pStyle w:val="Normal"/>
        <w:spacing w:lineRule="auto" w:line="360"/>
        <w:jc w:val="center"/>
        <w:rPr>
          <w:rFonts w:ascii="Arial" w:hAnsi="Arial"/>
        </w:rPr>
      </w:pPr>
      <w:r>
        <w:rPr>
          <w:rFonts w:cs="Arial" w:ascii="Arial" w:hAnsi="Arial"/>
          <w:b/>
          <w:i w:val="false"/>
          <w:sz w:val="32"/>
          <w:szCs w:val="32"/>
        </w:rPr>
        <w:t xml:space="preserve">SPECYFIKACJA TECHNICZNA WYKONANIA </w:t>
        <w:br/>
        <w:t>I ODBIORU ROBÓT BUDOWLANYCH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sz w:val="36"/>
          <w:szCs w:val="36"/>
        </w:rPr>
      </w:pPr>
      <w:r>
        <w:rPr>
          <w:rFonts w:cs="Arial" w:ascii="Arial" w:hAnsi="Arial"/>
          <w:b/>
          <w:sz w:val="36"/>
          <w:szCs w:val="36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sz w:val="36"/>
          <w:szCs w:val="36"/>
        </w:rPr>
      </w:pPr>
      <w:r>
        <w:rPr>
          <w:rFonts w:cs="Arial" w:ascii="Arial" w:hAnsi="Arial"/>
          <w:b/>
          <w:sz w:val="36"/>
          <w:szCs w:val="36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sz w:val="36"/>
          <w:szCs w:val="36"/>
        </w:rPr>
      </w:pPr>
      <w:r>
        <w:rPr>
          <w:rFonts w:cs="Arial" w:ascii="Arial" w:hAnsi="Arial"/>
          <w:b/>
          <w:sz w:val="36"/>
          <w:szCs w:val="36"/>
        </w:rPr>
      </w:r>
    </w:p>
    <w:p>
      <w:pPr>
        <w:pStyle w:val="PKT0"/>
        <w:ind w:hanging="0"/>
        <w:jc w:val="center"/>
        <w:rPr>
          <w:rFonts w:ascii="Arial" w:hAnsi="Arial"/>
        </w:rPr>
      </w:pPr>
      <w:r>
        <w:rPr>
          <w:rFonts w:cs="Arial" w:ascii="Arial" w:hAnsi="Arial"/>
        </w:rPr>
        <w:t>KANAŁ TECHNOLOGICZNY</w:t>
      </w:r>
    </w:p>
    <w:p>
      <w:pPr>
        <w:pStyle w:val="PKT0"/>
        <w:ind w:hanging="0"/>
        <w:jc w:val="center"/>
        <w:rPr>
          <w:rFonts w:ascii="Arial" w:hAnsi="Arial" w:cs="Arial"/>
          <w:lang w:val="pl-PL"/>
        </w:rPr>
      </w:pPr>
      <w:r>
        <w:rPr>
          <w:rFonts w:cs="Arial" w:ascii="Arial" w:hAnsi="Arial"/>
          <w:lang w:val="pl-PL"/>
        </w:rPr>
      </w:r>
    </w:p>
    <w:p>
      <w:pPr>
        <w:pStyle w:val="Normal"/>
        <w:spacing w:before="0" w:after="200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before="0" w:after="200"/>
        <w:rPr>
          <w:rFonts w:ascii="Arial" w:hAnsi="Arial" w:cs="Arial"/>
          <w:i w:val="false"/>
          <w:i w:val="false"/>
        </w:rPr>
      </w:pPr>
      <w:r>
        <w:rPr>
          <w:rFonts w:cs="Arial" w:ascii="Arial" w:hAnsi="Arial"/>
          <w:i w:val="false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before="0" w:after="200"/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</w:r>
      <w:r>
        <w:br w:type="page"/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 w:val="36"/>
          <w:szCs w:val="36"/>
        </w:rPr>
        <w:t>Specyfikacja  Techniczna</w:t>
      </w:r>
    </w:p>
    <w:p>
      <w:pPr>
        <w:pStyle w:val="STWiOR"/>
        <w:jc w:val="center"/>
        <w:rPr>
          <w:rFonts w:ascii="Arial" w:hAnsi="Arial"/>
        </w:rPr>
      </w:pPr>
      <w:bookmarkStart w:id="0" w:name="_Toc468518130"/>
      <w:bookmarkStart w:id="1" w:name="_Toc522384059"/>
      <w:bookmarkStart w:id="2" w:name="_Toc515380609"/>
      <w:r>
        <w:rPr>
          <w:rFonts w:ascii="Arial" w:hAnsi="Arial"/>
          <w:sz w:val="20"/>
          <w:szCs w:val="20"/>
        </w:rPr>
        <w:t>KANAŁ TECHNOLOGICZNY</w:t>
      </w:r>
      <w:bookmarkEnd w:id="1"/>
      <w:bookmarkEnd w:id="2"/>
    </w:p>
    <w:p>
      <w:pPr>
        <w:pStyle w:val="Punkt"/>
        <w:shd w:fill="E5E5E5" w:val="clear"/>
        <w:rPr>
          <w:rFonts w:ascii="Arial" w:hAnsi="Arial"/>
        </w:rPr>
      </w:pPr>
      <w:bookmarkStart w:id="3" w:name="_Toc468518130"/>
      <w:r>
        <w:rPr>
          <w:rFonts w:ascii="Arial" w:hAnsi="Arial"/>
        </w:rPr>
        <w:t>1. WSTĘP</w:t>
      </w:r>
      <w:bookmarkEnd w:id="3"/>
    </w:p>
    <w:p>
      <w:pPr>
        <w:pStyle w:val="Nagwek2"/>
        <w:rPr>
          <w:rFonts w:ascii="Arial" w:hAnsi="Arial"/>
        </w:rPr>
      </w:pPr>
      <w:r>
        <w:rPr>
          <w:rFonts w:ascii="Arial" w:hAnsi="Arial"/>
        </w:rPr>
        <w:t>1.1. Przedmiot ST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>Przedmiotem niniejszej specyfikacji technicznej (ST) są wymagania dotyczące wykonania i odbioru robót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 xml:space="preserve">związanych zbudową kanału technologicznego w ramach </w:t>
      </w:r>
      <w:r>
        <w:rPr>
          <w:rFonts w:ascii="Arial" w:hAnsi="Arial"/>
          <w:i/>
          <w:sz w:val="20"/>
          <w:szCs w:val="20"/>
        </w:rPr>
        <w:t>przebudowy drogi – ul. Kniaziewicza w Myslenicach</w:t>
      </w:r>
    </w:p>
    <w:p>
      <w:pPr>
        <w:pStyle w:val="Nagwek2"/>
        <w:rPr>
          <w:rFonts w:ascii="Arial" w:hAnsi="Arial"/>
        </w:rPr>
      </w:pPr>
      <w:r>
        <w:rPr>
          <w:rFonts w:ascii="Arial" w:hAnsi="Arial"/>
        </w:rPr>
        <w:t>1.2. Zakres stosowania ST</w:t>
      </w:r>
    </w:p>
    <w:p>
      <w:pPr>
        <w:pStyle w:val="Normal"/>
        <w:tabs>
          <w:tab w:val="clear" w:pos="708"/>
          <w:tab w:val="left" w:pos="0" w:leader="none"/>
        </w:tabs>
        <w:rPr>
          <w:rFonts w:ascii="Arial" w:hAnsi="Arial"/>
        </w:rPr>
      </w:pPr>
      <w:r>
        <w:rPr>
          <w:rFonts w:cs="Calibri" w:ascii="Arial" w:hAnsi="Arial"/>
          <w:szCs w:val="20"/>
        </w:rPr>
        <w:t xml:space="preserve">                </w:t>
      </w:r>
      <w:r>
        <w:rPr>
          <w:rFonts w:cs="Calibri" w:ascii="Arial" w:hAnsi="Arial"/>
          <w:szCs w:val="20"/>
        </w:rPr>
        <w:t>Specyfikacja techniczna (S T) jest stosowana jako dokument  kontraktowy przy realizacji robót wymienionych w pkt. 1.1.</w:t>
      </w:r>
    </w:p>
    <w:p>
      <w:pPr>
        <w:pStyle w:val="Normal"/>
        <w:ind w:firstLine="708"/>
        <w:rPr>
          <w:rFonts w:ascii="Arial" w:hAnsi="Arial"/>
        </w:rPr>
      </w:pPr>
      <w:r>
        <w:rPr>
          <w:rFonts w:cs="Calibri" w:ascii="Arial" w:hAnsi="Arial"/>
          <w:szCs w:val="20"/>
        </w:rPr>
        <w:t>Gdziekolwiek w Specyfikacjach Technicznych podano „SST” lub ”Szczegółowe Specyfikacje Techniczne”, to należy rozumieć jako: Specyfikacje Techniczne Wykonania i Odbioru Robót Budowlanych</w:t>
      </w:r>
    </w:p>
    <w:p>
      <w:pPr>
        <w:pStyle w:val="Nagwek3"/>
        <w:rPr>
          <w:rFonts w:ascii="Arial" w:hAnsi="Arial"/>
        </w:rPr>
      </w:pPr>
      <w:r>
        <w:rPr>
          <w:rFonts w:ascii="Arial" w:hAnsi="Arial"/>
        </w:rPr>
        <w:t>.</w:t>
      </w:r>
      <w:r>
        <w:rPr>
          <w:rFonts w:ascii="Arial" w:hAnsi="Arial"/>
          <w:color w:val="auto"/>
        </w:rPr>
        <w:t>1.3. Zakres robót objętych ST</w:t>
      </w:r>
      <w:bookmarkStart w:id="4" w:name="_GoBack"/>
      <w:bookmarkEnd w:id="4"/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ab/>
        <w:t>Roboty omówione w ST mają zastosowanie do budowy kanału technologicznego przy budowie i przebudowie dróg publicznych.</w:t>
      </w:r>
    </w:p>
    <w:p>
      <w:pPr>
        <w:pStyle w:val="Nagwek2"/>
        <w:rPr>
          <w:rFonts w:ascii="Arial" w:hAnsi="Arial"/>
        </w:rPr>
      </w:pPr>
      <w:r>
        <w:rPr>
          <w:rFonts w:ascii="Arial" w:hAnsi="Arial"/>
        </w:rPr>
        <w:t>1.4. Określenia podstawowe</w:t>
      </w:r>
    </w:p>
    <w:p>
      <w:pPr>
        <w:pStyle w:val="Normal"/>
        <w:numPr>
          <w:ilvl w:val="0"/>
          <w:numId w:val="1"/>
        </w:numPr>
        <w:overflowPunct w:val="true"/>
        <w:spacing w:before="0" w:after="120"/>
        <w:jc w:val="both"/>
        <w:textAlignment w:val="baseline"/>
        <w:rPr>
          <w:rFonts w:ascii="Arial" w:hAnsi="Arial"/>
        </w:rPr>
      </w:pPr>
      <w:r>
        <w:rPr>
          <w:rFonts w:ascii="Arial" w:hAnsi="Arial"/>
          <w:szCs w:val="20"/>
        </w:rPr>
        <w:t>Kanalizacja kablowa - zespół ciągów podziemnych z wbudowanymi studniami przeznaczony do prowadzenia kabli telekomunikacyjnych.</w:t>
      </w:r>
    </w:p>
    <w:p>
      <w:pPr>
        <w:pStyle w:val="Normal"/>
        <w:numPr>
          <w:ilvl w:val="0"/>
          <w:numId w:val="1"/>
        </w:numPr>
        <w:overflowPunct w:val="true"/>
        <w:spacing w:before="0" w:after="120"/>
        <w:jc w:val="both"/>
        <w:textAlignment w:val="baseline"/>
        <w:rPr>
          <w:rFonts w:ascii="Arial" w:hAnsi="Arial"/>
        </w:rPr>
      </w:pPr>
      <w:r>
        <w:rPr>
          <w:rFonts w:ascii="Arial" w:hAnsi="Arial"/>
          <w:szCs w:val="20"/>
        </w:rPr>
        <w:t>Elementy kanałów technologicznych – ciągi i wiązki rur, mikrokanalizacje kablowe, studnie kablowe lub zasobniki oraz inne obiekty i urządzenia wchodzące w skład kanałów technologicznych i ich ciągów;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overflowPunct w:val="true"/>
        <w:spacing w:before="0" w:after="120"/>
        <w:ind w:left="0" w:hanging="0"/>
        <w:jc w:val="both"/>
        <w:textAlignment w:val="baseline"/>
        <w:rPr>
          <w:rFonts w:ascii="Arial" w:hAnsi="Arial"/>
        </w:rPr>
      </w:pPr>
      <w:r>
        <w:rPr>
          <w:rFonts w:ascii="Arial" w:hAnsi="Arial"/>
          <w:szCs w:val="20"/>
        </w:rPr>
        <w:t>Długość trasowa linii kablowej lub jej odcinka - długość przebiegu trasy linii bez uwzględnienia falowania i zapasów kabla.</w:t>
      </w:r>
    </w:p>
    <w:p>
      <w:pPr>
        <w:pStyle w:val="Normal"/>
        <w:numPr>
          <w:ilvl w:val="0"/>
          <w:numId w:val="1"/>
        </w:numPr>
        <w:overflowPunct w:val="true"/>
        <w:spacing w:before="0" w:after="120"/>
        <w:jc w:val="both"/>
        <w:textAlignment w:val="baseline"/>
        <w:rPr>
          <w:rFonts w:ascii="Arial" w:hAnsi="Arial"/>
        </w:rPr>
      </w:pPr>
      <w:r>
        <w:rPr>
          <w:rFonts w:ascii="Arial" w:hAnsi="Arial"/>
          <w:szCs w:val="20"/>
        </w:rPr>
        <w:t>Osłona kabla - konstrukcja przeznaczona do ochrony kabla przed uszkodzeniami mechanicznymi, chemicznymi i działaniem łuku elektrycznego.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overflowPunct w:val="true"/>
        <w:spacing w:before="0" w:after="120"/>
        <w:jc w:val="both"/>
        <w:textAlignment w:val="baseline"/>
        <w:rPr>
          <w:rFonts w:ascii="Arial" w:hAnsi="Arial"/>
        </w:rPr>
      </w:pPr>
      <w:r>
        <w:rPr>
          <w:rFonts w:ascii="Arial" w:hAnsi="Arial"/>
          <w:szCs w:val="20"/>
        </w:rPr>
        <w:t>Studnia kablowa - pomieszczenia podziemne wbudowane między ciągi kanalizacji kablowej w celu umożliwienia wciągania, montażu i konserwacji kabli.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120"/>
        <w:contextualSpacing/>
        <w:rPr>
          <w:rFonts w:ascii="Arial" w:hAnsi="Arial"/>
        </w:rPr>
      </w:pPr>
      <w:r>
        <w:rPr>
          <w:rFonts w:ascii="Arial" w:hAnsi="Arial"/>
          <w:i/>
          <w:szCs w:val="20"/>
        </w:rPr>
        <w:t xml:space="preserve">Ciąg kanalizacji - </w:t>
      </w:r>
      <w:r>
        <w:rPr>
          <w:rFonts w:cs="Verdana" w:ascii="Arial" w:hAnsi="Arial"/>
          <w:i/>
          <w:szCs w:val="20"/>
        </w:rPr>
        <w:t>rury ułożone w wykopie połączone pojedynczo lub w zestawach pozwalających uzyskać potrzebną liczbę otworów kanalizacji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120"/>
        <w:contextualSpacing/>
        <w:rPr>
          <w:rFonts w:ascii="Arial" w:hAnsi="Arial"/>
        </w:rPr>
      </w:pPr>
      <w:r>
        <w:rPr>
          <w:rFonts w:cs="Verdana" w:ascii="Arial" w:hAnsi="Arial"/>
          <w:i/>
          <w:szCs w:val="20"/>
        </w:rPr>
        <w:t>Kanalizacja pierwotna - kanalizacja teletechniczna (kablowa), do której wciąga się kable telekomunikacyjne i rury kanalizacji wtórnej.</w:t>
      </w:r>
    </w:p>
    <w:p>
      <w:pPr>
        <w:pStyle w:val="ListParagraph"/>
        <w:rPr>
          <w:rFonts w:ascii="Arial" w:hAnsi="Arial"/>
          <w:i/>
          <w:i/>
          <w:szCs w:val="20"/>
        </w:rPr>
      </w:pPr>
      <w:r>
        <w:rPr>
          <w:rFonts w:ascii="Arial" w:hAnsi="Arial"/>
          <w:i/>
          <w:szCs w:val="20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120"/>
        <w:contextualSpacing/>
        <w:rPr>
          <w:rFonts w:ascii="Arial" w:hAnsi="Arial"/>
        </w:rPr>
      </w:pPr>
      <w:r>
        <w:rPr>
          <w:rFonts w:cs="Verdana" w:ascii="Arial" w:hAnsi="Arial"/>
          <w:i/>
          <w:szCs w:val="20"/>
        </w:rPr>
        <w:t>Kanalizacja wtórna - zespół rur zaciąganych do otworów kanalizacji pierwotnej, stanowiący dodatkowe zabezpieczenie kabli optotelekomunikacyjnych i innych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120"/>
        <w:contextualSpacing/>
        <w:rPr>
          <w:rFonts w:ascii="Arial" w:hAnsi="Arial"/>
        </w:rPr>
      </w:pPr>
      <w:r>
        <w:rPr>
          <w:rFonts w:cs="Verdana" w:ascii="Arial" w:hAnsi="Arial"/>
          <w:i/>
          <w:szCs w:val="20"/>
        </w:rPr>
        <w:t>Mikrokanalizacja kablowa – zespół podziemnych mikrorur służący do prowadzenia mikrokabli światłowodowych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120"/>
        <w:contextualSpacing/>
        <w:rPr>
          <w:rFonts w:ascii="Arial" w:hAnsi="Arial"/>
        </w:rPr>
      </w:pPr>
      <w:r>
        <w:rPr>
          <w:rFonts w:cs="Verdana" w:ascii="Arial" w:hAnsi="Arial"/>
          <w:i/>
          <w:szCs w:val="20"/>
        </w:rPr>
        <w:t>Zasobnik – zbiornik stanowiący osłonę dla złącza kabla lub mikrokabla światłowodowego i ich zapasów;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120"/>
        <w:contextualSpacing/>
        <w:rPr>
          <w:rFonts w:ascii="Arial" w:hAnsi="Arial"/>
        </w:rPr>
      </w:pPr>
      <w:r>
        <w:rPr>
          <w:rFonts w:cs="Verdana" w:ascii="Arial" w:hAnsi="Arial"/>
          <w:i/>
          <w:szCs w:val="20"/>
        </w:rPr>
        <w:t>Kanał technologiczny – kanał technologiczny, o którym mowa w ustawie z dnia 21 marca 1985 r. o drogach publicznych (Dz. U. z 2015 r. poz. 460)</w:t>
      </w:r>
    </w:p>
    <w:p>
      <w:pPr>
        <w:pStyle w:val="Normal"/>
        <w:numPr>
          <w:ilvl w:val="0"/>
          <w:numId w:val="1"/>
        </w:numPr>
        <w:overflowPunct w:val="true"/>
        <w:ind w:left="0" w:hanging="0"/>
        <w:jc w:val="both"/>
        <w:textAlignment w:val="baseline"/>
        <w:rPr>
          <w:rFonts w:ascii="Arial" w:hAnsi="Arial"/>
        </w:rPr>
      </w:pPr>
      <w:r>
        <w:rPr>
          <w:rFonts w:ascii="Arial" w:hAnsi="Arial"/>
          <w:szCs w:val="20"/>
        </w:rPr>
        <w:t>Pozostałe określenia podstawowe są zgodne z obowiązującymi polskimi normami i definicjami podanymi w SST D-00.00.00 „Wymagania ogólne”.</w:t>
      </w:r>
    </w:p>
    <w:p>
      <w:pPr>
        <w:pStyle w:val="Nagwek2"/>
        <w:rPr>
          <w:rFonts w:ascii="Arial" w:hAnsi="Arial"/>
        </w:rPr>
      </w:pPr>
      <w:r>
        <w:rPr>
          <w:rFonts w:ascii="Arial" w:hAnsi="Arial"/>
        </w:rPr>
        <w:t>1.5. Ogólne wymagania dotyczące robót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ab/>
        <w:t>Ogólne wymagania dotyczące robót podano w SST D-00.00.00 „Wymagania ogólne”.</w:t>
      </w:r>
    </w:p>
    <w:p>
      <w:pPr>
        <w:pStyle w:val="Normal"/>
        <w:rPr>
          <w:rFonts w:ascii="Arial" w:hAnsi="Arial"/>
          <w:szCs w:val="20"/>
        </w:rPr>
      </w:pPr>
      <w:r>
        <w:rPr>
          <w:rFonts w:ascii="Arial" w:hAnsi="Arial"/>
          <w:szCs w:val="20"/>
        </w:rPr>
      </w:r>
    </w:p>
    <w:p>
      <w:pPr>
        <w:pStyle w:val="Normal"/>
        <w:rPr>
          <w:rFonts w:ascii="Arial" w:hAnsi="Arial"/>
          <w:szCs w:val="20"/>
        </w:rPr>
      </w:pPr>
      <w:r>
        <w:rPr>
          <w:rFonts w:ascii="Arial" w:hAnsi="Arial"/>
          <w:szCs w:val="20"/>
        </w:rPr>
      </w:r>
    </w:p>
    <w:p>
      <w:pPr>
        <w:pStyle w:val="Normal"/>
        <w:rPr>
          <w:rFonts w:ascii="Arial" w:hAnsi="Arial"/>
          <w:szCs w:val="20"/>
        </w:rPr>
      </w:pPr>
      <w:r>
        <w:rPr>
          <w:rFonts w:ascii="Arial" w:hAnsi="Arial"/>
          <w:szCs w:val="20"/>
        </w:rPr>
      </w:r>
    </w:p>
    <w:p>
      <w:pPr>
        <w:pStyle w:val="Normal"/>
        <w:rPr>
          <w:rFonts w:ascii="Arial" w:hAnsi="Arial"/>
          <w:szCs w:val="20"/>
        </w:rPr>
      </w:pPr>
      <w:r>
        <w:rPr>
          <w:rFonts w:ascii="Arial" w:hAnsi="Arial"/>
          <w:szCs w:val="20"/>
        </w:rPr>
      </w:r>
    </w:p>
    <w:p>
      <w:pPr>
        <w:pStyle w:val="Normal"/>
        <w:rPr>
          <w:rFonts w:ascii="Arial" w:hAnsi="Arial"/>
          <w:szCs w:val="20"/>
        </w:rPr>
      </w:pPr>
      <w:r>
        <w:rPr>
          <w:rFonts w:ascii="Arial" w:hAnsi="Arial"/>
          <w:szCs w:val="20"/>
        </w:rPr>
      </w:r>
    </w:p>
    <w:p>
      <w:pPr>
        <w:pStyle w:val="Normal"/>
        <w:rPr>
          <w:rFonts w:ascii="Arial" w:hAnsi="Arial"/>
          <w:szCs w:val="20"/>
        </w:rPr>
      </w:pPr>
      <w:r>
        <w:rPr>
          <w:rFonts w:ascii="Arial" w:hAnsi="Arial"/>
          <w:szCs w:val="20"/>
        </w:rPr>
      </w:r>
    </w:p>
    <w:p>
      <w:pPr>
        <w:pStyle w:val="Normal"/>
        <w:rPr>
          <w:rFonts w:ascii="Arial" w:hAnsi="Arial"/>
          <w:szCs w:val="20"/>
        </w:rPr>
      </w:pPr>
      <w:r>
        <w:rPr>
          <w:rFonts w:ascii="Arial" w:hAnsi="Arial"/>
          <w:szCs w:val="20"/>
        </w:rPr>
      </w:r>
    </w:p>
    <w:p>
      <w:pPr>
        <w:pStyle w:val="Normal"/>
        <w:rPr>
          <w:rFonts w:ascii="Arial" w:hAnsi="Arial"/>
          <w:szCs w:val="20"/>
        </w:rPr>
      </w:pPr>
      <w:r>
        <w:rPr>
          <w:rFonts w:ascii="Arial" w:hAnsi="Arial"/>
          <w:szCs w:val="20"/>
        </w:rPr>
      </w:r>
    </w:p>
    <w:p>
      <w:pPr>
        <w:pStyle w:val="Normal"/>
        <w:rPr>
          <w:rFonts w:ascii="Arial" w:hAnsi="Arial"/>
          <w:szCs w:val="20"/>
        </w:rPr>
      </w:pPr>
      <w:r>
        <w:rPr>
          <w:rFonts w:ascii="Arial" w:hAnsi="Arial"/>
          <w:szCs w:val="20"/>
        </w:rPr>
      </w:r>
    </w:p>
    <w:p>
      <w:pPr>
        <w:pStyle w:val="Normal"/>
        <w:rPr>
          <w:rFonts w:ascii="Arial" w:hAnsi="Arial"/>
          <w:szCs w:val="20"/>
        </w:rPr>
      </w:pPr>
      <w:r>
        <w:rPr>
          <w:rFonts w:ascii="Arial" w:hAnsi="Arial"/>
          <w:szCs w:val="20"/>
        </w:rPr>
      </w:r>
    </w:p>
    <w:p>
      <w:pPr>
        <w:pStyle w:val="Normal"/>
        <w:rPr>
          <w:rFonts w:ascii="Arial" w:hAnsi="Arial"/>
          <w:szCs w:val="20"/>
        </w:rPr>
      </w:pPr>
      <w:r>
        <w:rPr>
          <w:rFonts w:ascii="Arial" w:hAnsi="Arial"/>
          <w:szCs w:val="20"/>
        </w:rPr>
      </w:r>
    </w:p>
    <w:p>
      <w:pPr>
        <w:pStyle w:val="Punkt"/>
        <w:shd w:fill="E5E5E5" w:val="clear"/>
        <w:rPr>
          <w:rFonts w:ascii="Arial" w:hAnsi="Arial"/>
        </w:rPr>
      </w:pPr>
      <w:bookmarkStart w:id="5" w:name="_Toc468518131"/>
      <w:r>
        <w:rPr>
          <w:rFonts w:ascii="Arial" w:hAnsi="Arial"/>
        </w:rPr>
        <w:t>2. MATERIAŁY</w:t>
      </w:r>
      <w:bookmarkEnd w:id="5"/>
    </w:p>
    <w:p>
      <w:pPr>
        <w:pStyle w:val="Nagwek2"/>
        <w:rPr>
          <w:rFonts w:ascii="Arial" w:hAnsi="Arial"/>
        </w:rPr>
      </w:pPr>
      <w:r>
        <w:rPr>
          <w:rFonts w:ascii="Arial" w:hAnsi="Arial"/>
        </w:rPr>
        <w:t>2.1. Ogólne wymagania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ab/>
        <w:t>Ogólne wymagania dotyczące materiałów podano w SST D-00.00.00 „Wymagania ogólne”.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ab/>
        <w:t>Materiały do zabezpieczenia kablowych linii telekomunikacyjnych nabywane są przez Wykonawcę u wytwórców. Każdy materiał musi mieć atest wytwórcy stwierdzający zgodność jego wykonania z odpowiednimi normami.</w:t>
      </w:r>
    </w:p>
    <w:p>
      <w:pPr>
        <w:pStyle w:val="Nagwek2"/>
        <w:rPr>
          <w:rFonts w:ascii="Arial" w:hAnsi="Arial"/>
        </w:rPr>
      </w:pPr>
      <w:r>
        <w:rPr>
          <w:rFonts w:ascii="Arial" w:hAnsi="Arial"/>
        </w:rPr>
        <w:t>2.2. Materiały budowlane</w:t>
      </w:r>
    </w:p>
    <w:p>
      <w:pPr>
        <w:pStyle w:val="Normal"/>
        <w:numPr>
          <w:ilvl w:val="0"/>
          <w:numId w:val="2"/>
        </w:numPr>
        <w:overflowPunct w:val="true"/>
        <w:spacing w:before="120" w:after="120"/>
        <w:jc w:val="both"/>
        <w:textAlignment w:val="baseline"/>
        <w:rPr>
          <w:rFonts w:ascii="Arial" w:hAnsi="Arial"/>
        </w:rPr>
      </w:pPr>
      <w:r>
        <w:rPr>
          <w:rFonts w:ascii="Arial" w:hAnsi="Arial"/>
          <w:szCs w:val="20"/>
        </w:rPr>
        <w:t>Piasek</w:t>
      </w:r>
    </w:p>
    <w:p>
      <w:pPr>
        <w:pStyle w:val="Normal"/>
        <w:overflowPunct w:val="true"/>
        <w:spacing w:before="120" w:after="120"/>
        <w:ind w:left="283" w:hanging="0"/>
        <w:jc w:val="both"/>
        <w:textAlignment w:val="baseline"/>
        <w:rPr>
          <w:rFonts w:ascii="Arial" w:hAnsi="Arial"/>
        </w:rPr>
      </w:pPr>
      <w:r>
        <w:rPr>
          <w:rFonts w:ascii="Arial" w:hAnsi="Arial"/>
          <w:szCs w:val="20"/>
        </w:rPr>
        <w:t>Piasek do układania rur ochronnych w ziemi powinien odpowiadać wymaganiom PN-EN 13242.</w:t>
      </w:r>
    </w:p>
    <w:p>
      <w:pPr>
        <w:pStyle w:val="Normal"/>
        <w:numPr>
          <w:ilvl w:val="0"/>
          <w:numId w:val="2"/>
        </w:numPr>
        <w:overflowPunct w:val="true"/>
        <w:spacing w:before="120" w:after="120"/>
        <w:jc w:val="both"/>
        <w:textAlignment w:val="baseline"/>
        <w:rPr>
          <w:rFonts w:ascii="Arial" w:hAnsi="Arial"/>
        </w:rPr>
      </w:pPr>
      <w:r>
        <w:rPr>
          <w:rFonts w:ascii="Arial" w:hAnsi="Arial"/>
          <w:szCs w:val="20"/>
        </w:rPr>
        <w:t>Taśma ostrzegawcza</w:t>
      </w:r>
    </w:p>
    <w:p>
      <w:pPr>
        <w:pStyle w:val="ListParagraph"/>
        <w:spacing w:before="120" w:after="120"/>
        <w:ind w:left="283" w:hanging="0"/>
        <w:contextualSpacing/>
        <w:rPr>
          <w:rFonts w:ascii="Arial" w:hAnsi="Arial"/>
        </w:rPr>
      </w:pPr>
      <w:r>
        <w:rPr>
          <w:rFonts w:ascii="Arial" w:hAnsi="Arial"/>
          <w:i/>
          <w:szCs w:val="20"/>
        </w:rPr>
        <w:t xml:space="preserve">Należy zastosować taśmę ostrzegawczą odpowiadającą wymaganiom zawartym w Rozporządzeniu Ministra Administracji i Cyfryzacji z dnia 21 kwietnia 2015 w sprawie warunków technicznych, jakim powinny odpowiadać kanały technologiczne  </w:t>
      </w:r>
      <w:r>
        <w:rPr>
          <w:rFonts w:ascii="Arial" w:hAnsi="Arial"/>
          <w:b/>
          <w:i/>
          <w:szCs w:val="20"/>
        </w:rPr>
        <w:tab/>
      </w:r>
    </w:p>
    <w:p>
      <w:pPr>
        <w:pStyle w:val="Nagwek2"/>
        <w:rPr>
          <w:rFonts w:ascii="Arial" w:hAnsi="Arial"/>
        </w:rPr>
      </w:pPr>
      <w:r>
        <w:rPr>
          <w:rFonts w:ascii="Arial" w:hAnsi="Arial"/>
        </w:rPr>
        <w:t>2.3. Rury osłonowe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  <w:t>-Materiał z polietylenu pierwotnego wysokiej gęstości ≥ 940 kg/m</w:t>
      </w:r>
      <w:r>
        <w:rPr>
          <w:rFonts w:ascii="Arial" w:hAnsi="Arial"/>
          <w:vertAlign w:val="superscript"/>
        </w:rPr>
        <w:t>3</w:t>
      </w:r>
      <w:r>
        <w:rPr>
          <w:rFonts w:ascii="Arial" w:hAnsi="Arial"/>
        </w:rPr>
        <w:t xml:space="preserve"> . 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  <w:t xml:space="preserve">- Zakres średnic zewnętrznych od 110 do 160 mm. 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  <w:t>- Sztywność obwodowa co najmniej 8 kN/m2 .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  <w:t xml:space="preserve"> </w:t>
      </w:r>
      <w:r>
        <w:rPr>
          <w:rFonts w:ascii="Arial" w:hAnsi="Arial"/>
        </w:rPr>
        <w:t>- Kolor czarny.</w:t>
      </w:r>
    </w:p>
    <w:p>
      <w:pPr>
        <w:pStyle w:val="Normal"/>
        <w:rPr>
          <w:rFonts w:ascii="Arial" w:hAnsi="Arial"/>
          <w:lang w:eastAsia="pl-PL"/>
        </w:rPr>
      </w:pPr>
      <w:r>
        <w:rPr>
          <w:rFonts w:ascii="Arial" w:hAnsi="Arial"/>
          <w:lang w:eastAsia="pl-PL"/>
        </w:rPr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  <w:b/>
          <w:szCs w:val="20"/>
        </w:rPr>
        <w:t>2.4.Prefabrykowane studnie kablowe</w:t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  <w:b/>
          <w:szCs w:val="20"/>
        </w:rPr>
        <w:t>2.4.1. Wymagania ogólne</w:t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</w:rPr>
        <w:t xml:space="preserve">1) Wielkość studni kablowych i zasobników powinna być dostosowana do rodzaju i typów ciągów kanałów technologicznych. </w:t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</w:rPr>
        <w:t xml:space="preserve">2) Zwieńczenia studni kablowych i zasobników powinny odznaczać się odpornością na nacisk z góry o wartości minimalnej wyrażonej w kiloniutonach (kN) zgodnie z § 6 ust. 6 rozporządzenia Ministra Infrastruktury z dnia 26 października 2005 r. w sprawie warunków technicznych, jakim powinny odpowiadać telekomunikacyjne obiekty budowlane i ich usytuowanie (Dz. U. Nr 219, poz. 1864 oraz z 2010 r. Nr 115, poz. 773). </w:t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</w:rPr>
        <w:t>3) Na pokrywie studni umieszcza się na trwałe logo właściciela kanału technologicznego. 4) Pokrywy studni kablowych wyposaża się w urządzenie uniemożliwiające dostęp do wnętrza studni osobom nieuprawnionym. Zabezpieczenia mechaniczne, w tym zwłaszcza zamki lub kłódki, powinny być odporne na korozję i czynniki atmosferyczne.</w:t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  <w:b/>
          <w:szCs w:val="20"/>
        </w:rPr>
        <w:t>2.4.2 Wymagania dla studni kablowych i zasobników</w:t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</w:rPr>
        <w:t>Studnie dla obciążenia klasy B z ramą ciężką min 12,5t nacisku</w:t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  <w:b/>
          <w:szCs w:val="20"/>
        </w:rPr>
        <w:t>2.5.Wiązki mikrorur</w:t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  <w:b/>
          <w:szCs w:val="20"/>
        </w:rPr>
        <w:t>2.5.1 Wiązki mikrorur uliczne KTu</w:t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</w:rPr>
        <w:t xml:space="preserve">- Materiał z polietylenu pierwotnego wysokiej gęstości ≥ 940 kg/m3 . </w:t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</w:rPr>
        <w:t xml:space="preserve">- Wiązki mikrorur buduje się z prefabrykowanych mikrorur cienkościennych o średnicy zewnętrznej od 5,0 do 16,0 mm i grubości ścianki od 0,75 do 1,0 mm, instalowanych w osłonach o średnicy od 40 mm do 50 mm; w przypadku zastosowania wiązek mikrorur bezpośrednio w ziemi buduje się je z prefabrykowanych mikrorur grubościennych o średnicy zewnętrznej od 7,0 do 16,0 mm i grubości ścianki od 1,5 do 2,5 mm. </w:t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</w:rPr>
        <w:t xml:space="preserve">- Konfiguracja wiązek mikrorur może być dowolna, z zastrzeżeniem okrągłego kształtu wiązki i maksymalnego wypełnienia wynikającego z wartości średnicy wewnętrznej rury osłonowej. </w:t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</w:rPr>
        <w:t>- Dopuszcza się instalowanie pojedynczych mikrorur w rurze światłowodowej metodą wdmuchiwania. Liczbę mikrorur uzależnia się od średnicy wewnętrznej rury światłowodowej oraz wolnego miejsca w tej rurze.</w:t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  <w:b/>
        </w:rPr>
        <w:t>2.5.2. Wiązki mikrorur przepustoweKTp</w:t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</w:rPr>
        <w:t>-Materiał z polietylenu pierwotnego wysokiej gęstości ≥ 940 kg/m3 .</w:t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</w:rPr>
        <w:t>- Wiązki mikrorur buduje się z prefabrykowanych mikrorur cienkościennych o średnicy zewnętrznej od 5,0 do 16,0 mm i grubości ścianki od 0,75 do 1,0 mm, instalowanych w osłonach o średnicy od 40 mm do 50 mm.</w:t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</w:rPr>
        <w:t xml:space="preserve">- Wiązki mikrorur instalowane bezpośrednio w ziemi buduje się z prefabrykowanych mikrorur grubościennych o średnicy zewnętrznej od 7,0 do 16,0 mm i grubości ścianki od 1,5 do 2,5 mm. </w:t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</w:rPr>
        <w:t>- Konfiguracja wiązek mikrorur może być dowolna, z zastrzeżeniem okrągłego kształtu wiązki i maksymalnego wypełnienia wynikającego z wartości średnicy wewnętrznej rury osłonowej.</w:t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</w:rPr>
        <w:t>- Dopuszcza się instalowanie pojedynczych mikrorur w rurze światłowodowej metodą wdmuchiwania. Liczbę mikrorur uzależnia się od średnicy wewnętrznej rury światłowodowej oraz wolnego miejsca w tej rurze.</w:t>
      </w:r>
    </w:p>
    <w:p>
      <w:pPr>
        <w:pStyle w:val="Normal"/>
        <w:spacing w:before="0" w:after="120"/>
        <w:rPr>
          <w:rFonts w:ascii="Arial" w:hAnsi="Arial"/>
          <w:b/>
          <w:b/>
        </w:rPr>
      </w:pPr>
      <w:r>
        <w:rPr>
          <w:rFonts w:ascii="Arial" w:hAnsi="Arial"/>
          <w:b/>
        </w:rPr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  <w:b/>
          <w:szCs w:val="20"/>
        </w:rPr>
        <w:t>2.6  Rury światłowodowe</w:t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</w:rPr>
        <w:t>- Materiał z polietylenu pierwotnego wysokiej gęstości ≥ 940 kg/m3 .</w:t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</w:rPr>
        <w:t xml:space="preserve">- Zakres średnic zewnętrznych od 40 do 50 mm, grubość ścianki co najmniej 3,7 mm. </w:t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</w:rPr>
        <w:t xml:space="preserve">- Sztywność obwodowa co najmniej 8 kN/m2 . </w:t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</w:rPr>
        <w:t>- Współczynnik tarcia nie większy niż 0,2 dla rur bez warstwy poślizgowej i 0,1 dla rur z warstwą poślizgową.</w:t>
      </w:r>
    </w:p>
    <w:p>
      <w:pPr>
        <w:pStyle w:val="Normal"/>
        <w:spacing w:before="0" w:after="120"/>
        <w:rPr>
          <w:rFonts w:ascii="Arial" w:hAnsi="Arial"/>
        </w:rPr>
      </w:pPr>
      <w:r>
        <w:rPr>
          <w:rFonts w:ascii="Arial" w:hAnsi="Arial"/>
        </w:rPr>
      </w:r>
    </w:p>
    <w:p>
      <w:pPr>
        <w:pStyle w:val="Punkt"/>
        <w:shd w:fill="E5E5E5" w:val="clear"/>
        <w:rPr>
          <w:rFonts w:ascii="Arial" w:hAnsi="Arial"/>
        </w:rPr>
      </w:pPr>
      <w:r>
        <w:rPr>
          <w:rFonts w:ascii="Arial" w:hAnsi="Arial"/>
        </w:rPr>
        <w:t>3. SPRZĘT</w:t>
      </w:r>
    </w:p>
    <w:p>
      <w:pPr>
        <w:pStyle w:val="Nagwek2"/>
        <w:rPr>
          <w:rFonts w:ascii="Arial" w:hAnsi="Arial"/>
        </w:rPr>
      </w:pPr>
      <w:r>
        <w:rPr>
          <w:rFonts w:ascii="Arial" w:hAnsi="Arial"/>
        </w:rPr>
        <w:t>3.1. Ogólne wymagania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ab/>
        <w:t>Ogólne wymagania dotyczące sprzętu podano w SST D-00.00.00 „Wymagania ogólne”.</w:t>
      </w:r>
    </w:p>
    <w:p>
      <w:pPr>
        <w:pStyle w:val="Nagwek2"/>
        <w:rPr>
          <w:rFonts w:ascii="Arial" w:hAnsi="Arial"/>
        </w:rPr>
      </w:pPr>
      <w:r>
        <w:rPr>
          <w:rFonts w:ascii="Arial" w:hAnsi="Arial"/>
        </w:rPr>
        <w:t xml:space="preserve">  </w:t>
      </w:r>
      <w:r>
        <w:rPr>
          <w:rFonts w:ascii="Arial" w:hAnsi="Arial"/>
        </w:rPr>
        <w:t>3.2. Sprzęt do budowy kablowych linii telekomunikacyjnych</w:t>
      </w:r>
    </w:p>
    <w:p>
      <w:pPr>
        <w:pStyle w:val="Normal"/>
        <w:tabs>
          <w:tab w:val="clear" w:pos="708"/>
          <w:tab w:val="left" w:pos="567" w:leader="none"/>
        </w:tabs>
        <w:rPr>
          <w:rFonts w:ascii="Arial" w:hAnsi="Arial"/>
        </w:rPr>
      </w:pPr>
      <w:r>
        <w:rPr>
          <w:rFonts w:ascii="Arial" w:hAnsi="Arial"/>
          <w:szCs w:val="20"/>
        </w:rPr>
        <w:tab/>
        <w:t xml:space="preserve">Wykonawca przystępujący do wykonania robót powinien wykazać się możliwością korzystania z </w:t>
      </w:r>
      <w:r>
        <w:rPr>
          <w:rFonts w:ascii="Arial" w:hAnsi="Arial"/>
          <w:color w:val="000000"/>
          <w:szCs w:val="20"/>
        </w:rPr>
        <w:t>dowolnego sprzętu gwarantującego bezpieczne i skuteczne wykonanie robót objętych zakresem niniejszej ST</w:t>
      </w:r>
      <w:r>
        <w:rPr>
          <w:rFonts w:ascii="Arial" w:hAnsi="Arial"/>
          <w:szCs w:val="20"/>
        </w:rPr>
        <w:t>.,</w:t>
      </w:r>
    </w:p>
    <w:p>
      <w:pPr>
        <w:pStyle w:val="Punkt"/>
        <w:shd w:fill="E5E5E5" w:val="clear"/>
        <w:rPr>
          <w:rFonts w:ascii="Arial" w:hAnsi="Arial"/>
        </w:rPr>
      </w:pPr>
      <w:bookmarkStart w:id="6" w:name="_Toc468518133"/>
      <w:r>
        <w:rPr>
          <w:rFonts w:ascii="Arial" w:hAnsi="Arial"/>
        </w:rPr>
        <w:t>4. TRANSPORT</w:t>
      </w:r>
      <w:bookmarkEnd w:id="6"/>
    </w:p>
    <w:p>
      <w:pPr>
        <w:pStyle w:val="Nagwek2"/>
        <w:rPr>
          <w:rFonts w:ascii="Arial" w:hAnsi="Arial"/>
        </w:rPr>
      </w:pPr>
      <w:r>
        <w:rPr>
          <w:rFonts w:ascii="Arial" w:hAnsi="Arial"/>
        </w:rPr>
        <w:t>4.1. Wymagania ogólne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ab/>
        <w:t>Ogólne wymagania dotyczące transportu podano w SST D-00.00.00 „Wymagania ogólne”.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 xml:space="preserve">               </w:t>
      </w:r>
      <w:r>
        <w:rPr>
          <w:rFonts w:ascii="Arial" w:hAnsi="Arial"/>
          <w:szCs w:val="20"/>
        </w:rPr>
        <w:t>Wykonawca jest obowiązany do stosowania jedynie takich środków transportu, które nie wpłyną niekorzystnie na jakość wykonywanych robót.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ab/>
        <w:t>Liczba środków transportu powinna gwarantować prowadzenie robót zgodnie z zasadami określonymi w dokumentacji projektowej, ST, SST i wskazaniach Inżyniera, w terminie przewidzianym kontraktem.</w:t>
      </w:r>
    </w:p>
    <w:p>
      <w:pPr>
        <w:pStyle w:val="Nagwek2"/>
        <w:rPr>
          <w:rFonts w:ascii="Arial" w:hAnsi="Arial"/>
        </w:rPr>
      </w:pPr>
      <w:r>
        <w:rPr>
          <w:rFonts w:ascii="Arial" w:hAnsi="Arial"/>
        </w:rPr>
        <w:t>4.2. Transport materiałów i elementów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ab/>
        <w:t>Wykonawca przystępujący do wykonania kanału technologicznego powinien wykazać się możliwością korzystania z następujących środków transportu, w zależności od zakresu robót:</w:t>
      </w:r>
    </w:p>
    <w:p>
      <w:pPr>
        <w:pStyle w:val="Normal"/>
        <w:numPr>
          <w:ilvl w:val="0"/>
          <w:numId w:val="3"/>
        </w:numPr>
        <w:overflowPunct w:val="true"/>
        <w:jc w:val="both"/>
        <w:textAlignment w:val="baseline"/>
        <w:rPr>
          <w:rFonts w:ascii="Arial" w:hAnsi="Arial"/>
        </w:rPr>
      </w:pPr>
      <w:r>
        <w:rPr>
          <w:rFonts w:ascii="Arial" w:hAnsi="Arial"/>
          <w:szCs w:val="20"/>
        </w:rPr>
        <w:t>samochód skrzyniowy,</w:t>
      </w:r>
    </w:p>
    <w:p>
      <w:pPr>
        <w:pStyle w:val="Normal"/>
        <w:numPr>
          <w:ilvl w:val="0"/>
          <w:numId w:val="3"/>
        </w:numPr>
        <w:overflowPunct w:val="true"/>
        <w:jc w:val="both"/>
        <w:textAlignment w:val="baseline"/>
        <w:rPr>
          <w:rFonts w:ascii="Arial" w:hAnsi="Arial"/>
        </w:rPr>
      </w:pPr>
      <w:r>
        <w:rPr>
          <w:rFonts w:ascii="Arial" w:hAnsi="Arial"/>
          <w:szCs w:val="20"/>
        </w:rPr>
        <w:t>samochód samowyładowczy,</w:t>
      </w:r>
    </w:p>
    <w:p>
      <w:pPr>
        <w:pStyle w:val="Normal"/>
        <w:numPr>
          <w:ilvl w:val="0"/>
          <w:numId w:val="3"/>
        </w:numPr>
        <w:overflowPunct w:val="true"/>
        <w:jc w:val="both"/>
        <w:textAlignment w:val="baseline"/>
        <w:rPr>
          <w:rFonts w:ascii="Arial" w:hAnsi="Arial"/>
        </w:rPr>
      </w:pPr>
      <w:r>
        <w:rPr>
          <w:rFonts w:ascii="Arial" w:hAnsi="Arial"/>
          <w:szCs w:val="20"/>
        </w:rPr>
        <w:t>samochód dostawczy,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ab/>
        <w:t>Na środkach transportu przewożone materiały i elementy powinny być zabezpieczone przed ich przemieszczaniem, układane zgodnie z warunkami transportu wydanymi przez wytwórcę dla poszczególnych elementów.</w:t>
      </w:r>
    </w:p>
    <w:p>
      <w:pPr>
        <w:pStyle w:val="Normal"/>
        <w:rPr>
          <w:rFonts w:ascii="Arial" w:hAnsi="Arial"/>
          <w:szCs w:val="20"/>
        </w:rPr>
      </w:pPr>
      <w:r>
        <w:rPr>
          <w:rFonts w:ascii="Arial" w:hAnsi="Arial"/>
          <w:szCs w:val="20"/>
        </w:rPr>
      </w:r>
    </w:p>
    <w:p>
      <w:pPr>
        <w:pStyle w:val="Normal"/>
        <w:rPr>
          <w:rFonts w:ascii="Arial" w:hAnsi="Arial"/>
          <w:szCs w:val="20"/>
        </w:rPr>
      </w:pPr>
      <w:r>
        <w:rPr>
          <w:rFonts w:ascii="Arial" w:hAnsi="Arial"/>
          <w:szCs w:val="20"/>
        </w:rPr>
      </w:r>
    </w:p>
    <w:p>
      <w:pPr>
        <w:pStyle w:val="Normal"/>
        <w:rPr>
          <w:rFonts w:ascii="Arial" w:hAnsi="Arial"/>
          <w:szCs w:val="20"/>
        </w:rPr>
      </w:pPr>
      <w:r>
        <w:rPr>
          <w:rFonts w:ascii="Arial" w:hAnsi="Arial"/>
          <w:szCs w:val="20"/>
        </w:rPr>
      </w:r>
    </w:p>
    <w:p>
      <w:pPr>
        <w:pStyle w:val="Normal"/>
        <w:rPr>
          <w:rFonts w:ascii="Arial" w:hAnsi="Arial"/>
          <w:szCs w:val="20"/>
        </w:rPr>
      </w:pPr>
      <w:r>
        <w:rPr>
          <w:rFonts w:ascii="Arial" w:hAnsi="Arial"/>
          <w:szCs w:val="20"/>
        </w:rPr>
      </w:r>
    </w:p>
    <w:p>
      <w:pPr>
        <w:pStyle w:val="Normal"/>
        <w:rPr>
          <w:rFonts w:ascii="Arial" w:hAnsi="Arial"/>
          <w:szCs w:val="20"/>
        </w:rPr>
      </w:pPr>
      <w:r>
        <w:rPr>
          <w:rFonts w:ascii="Arial" w:hAnsi="Arial"/>
          <w:szCs w:val="20"/>
        </w:rPr>
      </w:r>
    </w:p>
    <w:p>
      <w:pPr>
        <w:pStyle w:val="Normal"/>
        <w:rPr>
          <w:rFonts w:ascii="Arial" w:hAnsi="Arial"/>
          <w:szCs w:val="20"/>
        </w:rPr>
      </w:pPr>
      <w:r>
        <w:rPr>
          <w:rFonts w:ascii="Arial" w:hAnsi="Arial"/>
          <w:szCs w:val="20"/>
        </w:rPr>
      </w:r>
    </w:p>
    <w:p>
      <w:pPr>
        <w:pStyle w:val="Normal"/>
        <w:rPr>
          <w:rFonts w:ascii="Arial" w:hAnsi="Arial"/>
          <w:szCs w:val="20"/>
        </w:rPr>
      </w:pPr>
      <w:r>
        <w:rPr>
          <w:rFonts w:ascii="Arial" w:hAnsi="Arial"/>
          <w:szCs w:val="20"/>
        </w:rPr>
      </w:r>
    </w:p>
    <w:p>
      <w:pPr>
        <w:pStyle w:val="Normal"/>
        <w:rPr>
          <w:rFonts w:ascii="Arial" w:hAnsi="Arial"/>
          <w:szCs w:val="20"/>
        </w:rPr>
      </w:pPr>
      <w:r>
        <w:rPr>
          <w:rFonts w:ascii="Arial" w:hAnsi="Arial"/>
          <w:szCs w:val="20"/>
        </w:rPr>
      </w:r>
    </w:p>
    <w:p>
      <w:pPr>
        <w:pStyle w:val="Normal"/>
        <w:rPr>
          <w:rFonts w:ascii="Arial" w:hAnsi="Arial"/>
          <w:szCs w:val="20"/>
        </w:rPr>
      </w:pPr>
      <w:r>
        <w:rPr>
          <w:rFonts w:ascii="Arial" w:hAnsi="Arial"/>
          <w:szCs w:val="20"/>
        </w:rPr>
      </w:r>
    </w:p>
    <w:p>
      <w:pPr>
        <w:pStyle w:val="Punkt"/>
        <w:shd w:fill="E5E5E5" w:val="clear"/>
        <w:rPr>
          <w:rFonts w:ascii="Arial" w:hAnsi="Arial"/>
        </w:rPr>
      </w:pPr>
      <w:bookmarkStart w:id="7" w:name="_Toc468518134"/>
      <w:bookmarkStart w:id="8" w:name="_Toc466861805"/>
      <w:bookmarkStart w:id="9" w:name="_Toc466435443"/>
      <w:r>
        <w:rPr>
          <w:rFonts w:ascii="Arial" w:hAnsi="Arial"/>
        </w:rPr>
        <w:t xml:space="preserve">5. </w:t>
      </w:r>
      <w:bookmarkEnd w:id="8"/>
      <w:bookmarkEnd w:id="9"/>
      <w:r>
        <w:rPr>
          <w:rFonts w:ascii="Arial" w:hAnsi="Arial"/>
        </w:rPr>
        <w:t>WYKONANIE ROBÓT</w:t>
      </w:r>
      <w:bookmarkEnd w:id="7"/>
    </w:p>
    <w:p>
      <w:pPr>
        <w:pStyle w:val="Nagwek2"/>
        <w:rPr>
          <w:rFonts w:ascii="Arial" w:hAnsi="Arial"/>
        </w:rPr>
      </w:pPr>
      <w:r>
        <w:rPr>
          <w:rFonts w:ascii="Arial" w:hAnsi="Arial"/>
        </w:rPr>
        <w:t>5.1. Ogólne zasady wykonania robót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ab/>
        <w:t>Ogólne wymagania dotyczące wykonanie robót podano w SST D-00.00.00 „Wymagania ogólne”.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ab/>
        <w:t>Roboty należy wykonać zgodnie z normami i przepisami budowy, bezpieczeństwa i higieny pracy.</w:t>
      </w:r>
    </w:p>
    <w:p>
      <w:pPr>
        <w:pStyle w:val="Nagwek2"/>
        <w:rPr>
          <w:rFonts w:ascii="Arial" w:hAnsi="Arial"/>
        </w:rPr>
      </w:pPr>
      <w:r>
        <w:rPr>
          <w:rFonts w:ascii="Arial" w:hAnsi="Arial"/>
        </w:rPr>
        <w:t>5.2. Roboty ziemne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ab/>
      </w:r>
      <w:r>
        <w:rPr>
          <w:rFonts w:cs="Verdana" w:ascii="Arial" w:hAnsi="Arial"/>
          <w:szCs w:val="20"/>
        </w:rPr>
        <w:t>Przed przystąpieniem do wykonywania wykopów, Wykonawca ma obowiązek sprawdzenia zgodności rzędnych terenu z danymi w dokumentacji projektowej oraz oceny warunków gruntowych.</w:t>
      </w:r>
    </w:p>
    <w:p>
      <w:pPr>
        <w:pStyle w:val="Normal"/>
        <w:rPr>
          <w:rFonts w:ascii="Arial" w:hAnsi="Arial"/>
        </w:rPr>
      </w:pPr>
      <w:r>
        <w:rPr>
          <w:rFonts w:cs="Verdana" w:ascii="Arial" w:hAnsi="Arial"/>
          <w:szCs w:val="20"/>
        </w:rPr>
        <w:t>Metoda wykonywania robót ziemnych powinna być dobrana w zależności od głębokości wykopu, ukształtowania terenu oraz rodzaju gruntu. Wykopy pod studnie powinny być wykonane bez naruszenia naturalnej struktury dna wykopu.</w:t>
      </w:r>
    </w:p>
    <w:p>
      <w:pPr>
        <w:pStyle w:val="Normal"/>
        <w:rPr>
          <w:rFonts w:ascii="Arial" w:hAnsi="Arial"/>
        </w:rPr>
      </w:pPr>
      <w:r>
        <w:rPr>
          <w:rFonts w:cs="Verdana" w:ascii="Arial" w:hAnsi="Arial"/>
          <w:szCs w:val="20"/>
        </w:rPr>
        <w:t>Wykop rowu pod kable i rury kanalizacji kablowych powinien być zgodny z dokumentacją projektową i wskazaniami Inżyniera budowy. Wydobyty grunt powinien być składowany z jednej strony wykopu. Skarpy rowu powinny być wykonane w sposób zapewniający ich stateczność. W celu zabezpieczenia wykopu przed zalaniem wodą z opadów atmosferycznych, należy powierzchnię terenu wyprofilować ze spadkiem umożliwiającym łatwy odpływ wody poza teren przylegający do wykopu.</w:t>
      </w:r>
    </w:p>
    <w:p>
      <w:pPr>
        <w:pStyle w:val="Normal"/>
        <w:rPr>
          <w:rFonts w:ascii="Arial" w:hAnsi="Arial" w:cs="Verdana"/>
          <w:szCs w:val="20"/>
        </w:rPr>
      </w:pPr>
      <w:r>
        <w:rPr>
          <w:rFonts w:cs="Verdana" w:ascii="Arial" w:hAnsi="Arial"/>
          <w:szCs w:val="20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b/>
          <w:bCs/>
          <w:szCs w:val="20"/>
        </w:rPr>
        <w:t>5.3. Wykonanie kanału technologicznego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ab/>
        <w:t xml:space="preserve">Kanał technologiczny należy wykonać wg. wymagań zawartych w  Wytycznych dla kanałów technologicznych GDDKiA i odpowiadać wymaganiom zawartym w Rozporządzeniu Ministra Administracji i Cyfryzacji z dnia 21 kwietnia 2015 w sprawie warunków technicznych, jakim powinny odpowiadać kanały technologiczne  </w:t>
      </w:r>
    </w:p>
    <w:p>
      <w:pPr>
        <w:pStyle w:val="Normal"/>
        <w:rPr>
          <w:rFonts w:ascii="Arial" w:hAnsi="Arial"/>
          <w:szCs w:val="20"/>
        </w:rPr>
      </w:pPr>
      <w:r>
        <w:rPr>
          <w:rFonts w:ascii="Arial" w:hAnsi="Arial"/>
          <w:szCs w:val="20"/>
        </w:rPr>
      </w:r>
    </w:p>
    <w:p>
      <w:pPr>
        <w:pStyle w:val="Punkt"/>
        <w:shd w:fill="E5E5E5" w:val="clear"/>
        <w:rPr>
          <w:rFonts w:ascii="Arial" w:hAnsi="Arial"/>
        </w:rPr>
      </w:pPr>
      <w:bookmarkStart w:id="10" w:name="_Toc468518135"/>
      <w:r>
        <w:rPr>
          <w:rFonts w:ascii="Arial" w:hAnsi="Arial"/>
        </w:rPr>
        <w:t>6. KONTROLA JAKOŚCI ROBÓT</w:t>
      </w:r>
      <w:bookmarkEnd w:id="10"/>
    </w:p>
    <w:p>
      <w:pPr>
        <w:pStyle w:val="Nagwek2"/>
        <w:rPr>
          <w:rFonts w:ascii="Arial" w:hAnsi="Arial"/>
        </w:rPr>
      </w:pPr>
      <w:r>
        <w:rPr>
          <w:rFonts w:ascii="Arial" w:hAnsi="Arial"/>
        </w:rPr>
        <w:t>6.1. Ogólne zasady kontroli jakości robót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>Ogólne zasady kontroli jakości Robót podano w ST D-M.00.00.00.”Wymagania ogólne”, pkt.6.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b/>
          <w:bCs/>
          <w:szCs w:val="20"/>
        </w:rPr>
        <w:t>6.2. Sprawdzanie materiałów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>Sprawdzenie materiałów użytych do budowy kanału polega na stwierdzeniu ich zgodności</w:t>
        <w:br/>
        <w:t>z wymaganiami norm lub innych dokumentów poświadczających zgodność użytych materiałów</w:t>
        <w:br/>
        <w:t xml:space="preserve">z wymaganiami Dokumentacji Projektowej lub uzgodnionych warunków technicznych. Jakość materiałów powinna być poświadczona atestem lub innym dokumentem ich dostawców. 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b/>
          <w:bCs/>
          <w:szCs w:val="20"/>
        </w:rPr>
        <w:t>6.3. Sprawdzenie tras kanału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>Sprawdzenie tras kanału należy wykonać taśmą mierniczą przez wykonanie domiarów do stałych punktów terenowych i porównanie wyników z Dokumentacją Geodezyjną. Należy również sprawdzić stan uporządkowania terenu wzdłuż ciągów kanalizacyjnych i w miejscach studzien kablowych.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b/>
          <w:bCs/>
          <w:szCs w:val="20"/>
        </w:rPr>
        <w:t>6.4. Sprawdzenie prawidłowości wykonania ciągów kanału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>W czasie wykonania ciągów kanału  sprawdzeniu podlegają :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>wykopy pod rury – ich wymiary,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>głębokość ułożenia rur,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>prostolinijność przebiegu,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>sposób zestawienia i łączenia rur,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>wykonanie skrzyżowania z drogami,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>wykonanie skrzyżowania z urządzeniami podziemnymi.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>szczelności kanału z rur światłowodowych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>Pomiary należy wykonywać za pomocą taśmy mierniczej i przez oględziny. W celu wykonania pomiaru szczelności badany odcinek należy na jednym końcu uszczelnić zaślepką z zaworem wpustowo-kontrolnym (wentylem). Poprzez wentyl należy odcinek ten napełnić stopniowo sprężonym powietrzem do nadciśnienia ok. 100kPa i zanotować wartość nadciśnienia. Po upływie co najmniej 24 godzin należy ponownie zmierzyć nadciśnienie i zanotować jego wartość. Odcinek kanału należy uznać za szczelny, jeśli porównanie wyników pomiarów nie wykazuje ubytku nadciśnienia o więcej, niż 10kPa.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b/>
          <w:bCs/>
          <w:szCs w:val="20"/>
        </w:rPr>
        <w:t xml:space="preserve">6.5. Sprawozdanie prawidłowości wykonania studni kablowych 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 xml:space="preserve">Studnie prefabrykowane powinny posiadać atest stwierdzający wykonanie zgodne z normami. 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>Po wbudowaniu ich w ciągi kanalizacyjne sprawdzeniu podlega: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>lokalizacja,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>prawidłowość montażu i ustawienia,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>wysokość osadzenia ram.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 xml:space="preserve">uszczelnienia wprowadzeń ciągu kanału 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>Pomiar należy wykonać za pomocą taśmy mierniczej i przez oględziny.</w:t>
      </w:r>
    </w:p>
    <w:p>
      <w:pPr>
        <w:pStyle w:val="Normal"/>
        <w:rPr>
          <w:rFonts w:ascii="Arial" w:hAnsi="Arial"/>
          <w:szCs w:val="20"/>
        </w:rPr>
      </w:pPr>
      <w:r>
        <w:rPr>
          <w:rFonts w:ascii="Arial" w:hAnsi="Arial"/>
          <w:szCs w:val="20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b/>
          <w:bCs/>
          <w:szCs w:val="20"/>
        </w:rPr>
        <w:t>6.6. Sprawdzenie wprowadzeń rur do studni kablowych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>Sprawdzenie polega na: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>pomiarze głębokości ułożenia rur wprowadzonych do komory kablowej,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>sprawdzeniu liczby otworów ciągów kanału,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>uszczelnienia otworów w studni kablowej.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b/>
          <w:bCs/>
          <w:szCs w:val="20"/>
        </w:rPr>
        <w:t>6.7. Ocena wyników badań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>Przedstawiony do odbioru  kanał technologiczny należy uznać za wykonany zgodnie</w:t>
        <w:br/>
        <w:t>z wymaganiami, jeżeli sprawdzenia i pomiary podane w pkt.6 ST dały dodatni wynik. Elementy linii, które w wyniku przeprowadzonych badań otrzymały ocenę ujemną, powinny być wymienione lub poprawione i ponownie zgłoszone do odbioru.</w:t>
      </w:r>
    </w:p>
    <w:p>
      <w:pPr>
        <w:pStyle w:val="Punkt"/>
        <w:shd w:fill="E5E5E5" w:val="clear"/>
        <w:rPr>
          <w:rFonts w:ascii="Arial" w:hAnsi="Arial"/>
        </w:rPr>
      </w:pPr>
      <w:bookmarkStart w:id="11" w:name="_Toc468518136"/>
      <w:r>
        <w:rPr>
          <w:rFonts w:ascii="Arial" w:hAnsi="Arial"/>
        </w:rPr>
        <w:t>7. OBMIAR ROBÓT</w:t>
      </w:r>
      <w:bookmarkEnd w:id="11"/>
    </w:p>
    <w:p>
      <w:pPr>
        <w:pStyle w:val="Nagwek2"/>
        <w:rPr>
          <w:rFonts w:ascii="Arial" w:hAnsi="Arial"/>
        </w:rPr>
      </w:pPr>
      <w:r>
        <w:rPr>
          <w:rFonts w:ascii="Arial" w:hAnsi="Arial"/>
        </w:rPr>
        <w:t>7.1. Ogólne zasady obmiaru robót</w:t>
        <w:tab/>
      </w:r>
    </w:p>
    <w:p>
      <w:pPr>
        <w:pStyle w:val="Normal"/>
        <w:ind w:firstLine="709"/>
        <w:rPr>
          <w:rFonts w:ascii="Arial" w:hAnsi="Arial"/>
        </w:rPr>
      </w:pPr>
      <w:r>
        <w:rPr>
          <w:rFonts w:ascii="Arial" w:hAnsi="Arial"/>
          <w:szCs w:val="20"/>
        </w:rPr>
        <w:t>Ogólne wymagania dotyczące obmiaru robót podano w ST D-00.00.00 „Wymagania ogólne”.</w:t>
      </w:r>
    </w:p>
    <w:p>
      <w:pPr>
        <w:pStyle w:val="Nagwek2"/>
        <w:numPr>
          <w:ilvl w:val="0"/>
          <w:numId w:val="0"/>
        </w:numPr>
        <w:ind w:left="0" w:hanging="0"/>
        <w:rPr>
          <w:rFonts w:ascii="Arial" w:hAnsi="Arial"/>
        </w:rPr>
      </w:pPr>
      <w:bookmarkStart w:id="12" w:name="_Toc468518137"/>
      <w:bookmarkStart w:id="13" w:name="_Toc467298655"/>
      <w:bookmarkStart w:id="14" w:name="_Toc466861808"/>
      <w:bookmarkStart w:id="15" w:name="_Toc466435446"/>
      <w:r>
        <w:rPr>
          <w:rFonts w:cs="Calibri" w:ascii="Arial" w:hAnsi="Arial"/>
        </w:rPr>
        <w:t>7.2. Jednostka obmiarowa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ab/>
      </w:r>
      <w:r>
        <w:rPr>
          <w:rFonts w:cs="Calibri" w:ascii="Arial" w:hAnsi="Arial"/>
          <w:szCs w:val="20"/>
        </w:rPr>
        <w:t xml:space="preserve">Jednostka obmiarowa dla pozycji ryczałtowej zgodnie z wyceną elementów robót. </w:t>
      </w:r>
    </w:p>
    <w:p>
      <w:pPr>
        <w:pStyle w:val="Normal"/>
        <w:spacing w:before="0" w:after="0"/>
        <w:contextualSpacing/>
        <w:rPr>
          <w:rFonts w:ascii="Arial" w:hAnsi="Arial" w:cs="Calibri"/>
          <w:szCs w:val="20"/>
        </w:rPr>
      </w:pPr>
      <w:r>
        <w:rPr>
          <w:rFonts w:cs="Calibri" w:ascii="Arial" w:hAnsi="Arial"/>
          <w:szCs w:val="20"/>
        </w:rPr>
      </w:r>
    </w:p>
    <w:p>
      <w:pPr>
        <w:pStyle w:val="Punkt"/>
        <w:shd w:fill="E5E5E5" w:val="clear"/>
        <w:rPr>
          <w:rFonts w:ascii="Arial" w:hAnsi="Arial"/>
        </w:rPr>
      </w:pPr>
      <w:bookmarkStart w:id="16" w:name="_Toc468518137"/>
      <w:bookmarkStart w:id="17" w:name="_Toc467298655"/>
      <w:bookmarkStart w:id="18" w:name="_Toc466861808"/>
      <w:bookmarkStart w:id="19" w:name="_Toc466435446"/>
      <w:r>
        <w:rPr>
          <w:rFonts w:ascii="Arial" w:hAnsi="Arial"/>
        </w:rPr>
        <w:t>8. ODBIÓR ROBÓT</w:t>
      </w:r>
      <w:bookmarkEnd w:id="16"/>
      <w:bookmarkEnd w:id="17"/>
      <w:bookmarkEnd w:id="18"/>
      <w:bookmarkEnd w:id="19"/>
    </w:p>
    <w:p>
      <w:pPr>
        <w:pStyle w:val="Normal"/>
        <w:spacing w:before="120" w:after="120"/>
        <w:rPr>
          <w:rFonts w:ascii="Arial" w:hAnsi="Arial"/>
        </w:rPr>
      </w:pPr>
      <w:r>
        <w:rPr>
          <w:rFonts w:ascii="Arial" w:hAnsi="Arial"/>
          <w:b/>
          <w:szCs w:val="20"/>
        </w:rPr>
        <w:t>8.1. Ogólne zasady odbioru robót</w:t>
      </w:r>
    </w:p>
    <w:p>
      <w:pPr>
        <w:pStyle w:val="Normal"/>
        <w:ind w:firstLine="709"/>
        <w:rPr>
          <w:rFonts w:ascii="Arial" w:hAnsi="Arial"/>
        </w:rPr>
      </w:pPr>
      <w:r>
        <w:rPr>
          <w:rFonts w:ascii="Arial" w:hAnsi="Arial"/>
          <w:szCs w:val="20"/>
        </w:rPr>
        <w:t>Ogólne wymagania dotyczące odbioru robót podano w SST D-00.00.00 „Wymagania ogólne”.</w:t>
      </w:r>
    </w:p>
    <w:p>
      <w:pPr>
        <w:pStyle w:val="Nagwek2"/>
        <w:rPr>
          <w:rFonts w:ascii="Arial" w:hAnsi="Arial"/>
        </w:rPr>
      </w:pPr>
      <w:r>
        <w:rPr>
          <w:rFonts w:ascii="Arial" w:hAnsi="Arial"/>
        </w:rPr>
        <w:t>8.2.Warunki odbioru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Cs w:val="20"/>
        </w:rPr>
        <w:tab/>
        <w:t>Po wykonaniu zabezpieczenia kanalizacji teletechnicznej i kabli telekomunikacyjnych do eksploatacji, Wykonawca zobowiązany jest dostarczyć Zamawiającemu następujące dokumenty:</w:t>
      </w:r>
    </w:p>
    <w:p>
      <w:pPr>
        <w:pStyle w:val="Normal"/>
        <w:numPr>
          <w:ilvl w:val="0"/>
          <w:numId w:val="3"/>
        </w:numPr>
        <w:overflowPunct w:val="true"/>
        <w:jc w:val="both"/>
        <w:textAlignment w:val="baseline"/>
        <w:rPr>
          <w:rFonts w:ascii="Arial" w:hAnsi="Arial"/>
        </w:rPr>
      </w:pPr>
      <w:r>
        <w:rPr>
          <w:rFonts w:ascii="Arial" w:hAnsi="Arial"/>
          <w:szCs w:val="20"/>
        </w:rPr>
        <w:t>aktualną powykonawczą dokumentację projektową,</w:t>
      </w:r>
    </w:p>
    <w:p>
      <w:pPr>
        <w:pStyle w:val="Normal"/>
        <w:numPr>
          <w:ilvl w:val="0"/>
          <w:numId w:val="3"/>
        </w:numPr>
        <w:overflowPunct w:val="true"/>
        <w:jc w:val="both"/>
        <w:textAlignment w:val="baseline"/>
        <w:rPr>
          <w:rFonts w:ascii="Arial" w:hAnsi="Arial"/>
        </w:rPr>
      </w:pPr>
      <w:r>
        <w:rPr>
          <w:rFonts w:ascii="Arial" w:hAnsi="Arial"/>
          <w:szCs w:val="20"/>
        </w:rPr>
        <w:t>geodezyjną dokumentację powykonawczą,</w:t>
      </w:r>
    </w:p>
    <w:p>
      <w:pPr>
        <w:pStyle w:val="Normal"/>
        <w:numPr>
          <w:ilvl w:val="0"/>
          <w:numId w:val="3"/>
        </w:numPr>
        <w:overflowPunct w:val="true"/>
        <w:jc w:val="both"/>
        <w:textAlignment w:val="baseline"/>
        <w:rPr>
          <w:rFonts w:ascii="Arial" w:hAnsi="Arial"/>
        </w:rPr>
      </w:pPr>
      <w:r>
        <w:rPr>
          <w:rFonts w:ascii="Arial" w:hAnsi="Arial"/>
          <w:szCs w:val="20"/>
        </w:rPr>
        <w:t>protokoły odbioru robót zanikających</w:t>
      </w:r>
    </w:p>
    <w:p>
      <w:pPr>
        <w:pStyle w:val="Normal"/>
        <w:numPr>
          <w:ilvl w:val="0"/>
          <w:numId w:val="3"/>
        </w:numPr>
        <w:overflowPunct w:val="true"/>
        <w:jc w:val="both"/>
        <w:textAlignment w:val="baseline"/>
        <w:rPr>
          <w:rFonts w:ascii="Arial" w:hAnsi="Arial"/>
        </w:rPr>
      </w:pPr>
      <w:r>
        <w:rPr>
          <w:rFonts w:ascii="Arial" w:hAnsi="Arial"/>
          <w:szCs w:val="20"/>
        </w:rPr>
        <w:t>badania próby szczelności rur światłowodowych</w:t>
      </w:r>
    </w:p>
    <w:p>
      <w:pPr>
        <w:pStyle w:val="Normal"/>
        <w:overflowPunct w:val="true"/>
        <w:ind w:left="283" w:hanging="0"/>
        <w:jc w:val="both"/>
        <w:textAlignment w:val="baseline"/>
        <w:rPr>
          <w:rFonts w:ascii="Arial" w:hAnsi="Arial"/>
          <w:color w:val="FF0000"/>
          <w:szCs w:val="20"/>
        </w:rPr>
      </w:pPr>
      <w:r>
        <w:rPr>
          <w:rFonts w:ascii="Arial" w:hAnsi="Arial"/>
          <w:color w:val="FF0000"/>
          <w:szCs w:val="20"/>
        </w:rPr>
      </w:r>
    </w:p>
    <w:p>
      <w:pPr>
        <w:pStyle w:val="Punkt"/>
        <w:shd w:fill="E5E5E5" w:val="clear"/>
        <w:rPr>
          <w:rFonts w:ascii="Arial" w:hAnsi="Arial"/>
        </w:rPr>
      </w:pPr>
      <w:bookmarkStart w:id="20" w:name="_Toc468518138"/>
      <w:bookmarkStart w:id="21" w:name="_Toc467298656"/>
      <w:r>
        <w:rPr>
          <w:rFonts w:ascii="Arial" w:hAnsi="Arial"/>
        </w:rPr>
        <w:t>9. PODSTAWA PŁATNOŚCI</w:t>
      </w:r>
      <w:bookmarkEnd w:id="20"/>
      <w:bookmarkEnd w:id="21"/>
    </w:p>
    <w:p>
      <w:pPr>
        <w:pStyle w:val="Nagwek2"/>
        <w:numPr>
          <w:ilvl w:val="0"/>
          <w:numId w:val="0"/>
        </w:numPr>
        <w:ind w:left="0" w:hanging="0"/>
        <w:rPr>
          <w:rFonts w:ascii="Arial" w:hAnsi="Arial"/>
        </w:rPr>
      </w:pPr>
      <w:r>
        <w:rPr>
          <w:rFonts w:ascii="Arial" w:hAnsi="Arial"/>
        </w:rPr>
        <w:tab/>
      </w:r>
    </w:p>
    <w:p>
      <w:pPr>
        <w:pStyle w:val="Normal"/>
        <w:numPr>
          <w:ilvl w:val="0"/>
          <w:numId w:val="0"/>
        </w:numPr>
        <w:tabs>
          <w:tab w:val="clear" w:pos="708"/>
          <w:tab w:val="right" w:pos="-1985" w:leader="dot"/>
          <w:tab w:val="left" w:pos="426" w:leader="none"/>
          <w:tab w:val="right" w:pos="8505" w:leader="dot"/>
        </w:tabs>
        <w:ind w:left="0" w:hanging="0"/>
        <w:rPr>
          <w:rFonts w:ascii="Arial" w:hAnsi="Arial"/>
        </w:rPr>
      </w:pPr>
      <w:r>
        <w:rPr>
          <w:rFonts w:cs="Calibri" w:ascii="Arial" w:hAnsi="Arial"/>
          <w:b/>
          <w:bCs/>
          <w:szCs w:val="20"/>
        </w:rPr>
        <w:tab/>
      </w:r>
      <w:r>
        <w:rPr>
          <w:rFonts w:cs="Calibri" w:ascii="Arial" w:hAnsi="Arial"/>
          <w:szCs w:val="20"/>
        </w:rPr>
        <w:t xml:space="preserve">Ogólne ustalenia dotyczące podstawy płatności podano w SST D-00.00.00 i umowie. </w:t>
      </w:r>
    </w:p>
    <w:p>
      <w:pPr>
        <w:pStyle w:val="Nagwek2"/>
        <w:rPr>
          <w:rFonts w:ascii="Arial" w:hAnsi="Arial"/>
        </w:rPr>
      </w:pPr>
      <w:r>
        <w:rPr>
          <w:rFonts w:ascii="Arial" w:hAnsi="Arial"/>
        </w:rPr>
        <w:t>10.1. Normy</w:t>
      </w:r>
    </w:p>
    <w:p>
      <w:pPr>
        <w:pStyle w:val="ListParagraph"/>
        <w:numPr>
          <w:ilvl w:val="0"/>
          <w:numId w:val="5"/>
        </w:numPr>
        <w:overflowPunct w:val="true"/>
        <w:spacing w:lineRule="auto" w:line="240" w:before="0" w:after="0"/>
        <w:contextualSpacing/>
        <w:jc w:val="both"/>
        <w:textAlignment w:val="baseline"/>
        <w:rPr>
          <w:rFonts w:ascii="Arial" w:hAnsi="Arial"/>
        </w:rPr>
      </w:pPr>
      <w:r>
        <w:rPr>
          <w:rFonts w:ascii="Arial" w:hAnsi="Arial"/>
          <w:i/>
          <w:szCs w:val="20"/>
        </w:rPr>
        <w:t>normy przywołane w Rozporządzeniu Ministra Administracji i Cyfryzacji z dnia 21 kwietnia 2015 w sprawie warunków technicznych, jakim powinny odpowiadać kanały technologiczne  Dziennik Ustaw z dnia 15 maja 2015 Poz 680</w:t>
      </w:r>
    </w:p>
    <w:p>
      <w:pPr>
        <w:pStyle w:val="Nagwek2"/>
        <w:rPr>
          <w:rFonts w:ascii="Arial" w:hAnsi="Arial"/>
        </w:rPr>
      </w:pPr>
      <w:r>
        <w:rPr>
          <w:rFonts w:ascii="Arial" w:hAnsi="Arial"/>
        </w:rPr>
        <w:t>10.2. Inne dokumenty</w:t>
      </w:r>
    </w:p>
    <w:p>
      <w:pPr>
        <w:pStyle w:val="Normal"/>
        <w:numPr>
          <w:ilvl w:val="0"/>
          <w:numId w:val="4"/>
        </w:numPr>
        <w:overflowPunct w:val="true"/>
        <w:ind w:left="397" w:hanging="397"/>
        <w:jc w:val="both"/>
        <w:textAlignment w:val="baseline"/>
        <w:rPr>
          <w:rFonts w:ascii="Arial" w:hAnsi="Arial"/>
        </w:rPr>
      </w:pPr>
      <w:r>
        <w:rPr>
          <w:rFonts w:ascii="Arial" w:hAnsi="Arial"/>
          <w:szCs w:val="20"/>
        </w:rPr>
        <w:t>Ustawa Rady Ministrów nr 60 z dnia 21 marca 1985 r. o drogach publicznych.</w:t>
      </w:r>
    </w:p>
    <w:p>
      <w:pPr>
        <w:pStyle w:val="Normal"/>
        <w:numPr>
          <w:ilvl w:val="0"/>
          <w:numId w:val="4"/>
        </w:numPr>
        <w:overflowPunct w:val="true"/>
        <w:ind w:left="397" w:hanging="397"/>
        <w:jc w:val="both"/>
        <w:textAlignment w:val="baseline"/>
        <w:rPr>
          <w:rFonts w:ascii="Arial" w:hAnsi="Arial"/>
        </w:rPr>
      </w:pPr>
      <w:r>
        <w:rPr>
          <w:rFonts w:ascii="Arial" w:hAnsi="Arial"/>
          <w:szCs w:val="20"/>
        </w:rPr>
        <w:t>Rozporządzenie Ministra Budownictwa i Przemysłu Maszyn Budowlanych w sprawie bezpieczeństwa i higieny pracy przy wykonywaniu robót budowlano-montażowych i rozbiórkowych. Dziennik Ustaw Nr 13 z dnia 10 kwietnia 1972 r.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-113" w:leader="none"/>
        </w:tabs>
        <w:spacing w:lineRule="auto" w:line="240" w:before="0" w:after="0"/>
        <w:ind w:left="397" w:hanging="397"/>
        <w:contextualSpacing/>
        <w:rPr>
          <w:rFonts w:ascii="Arial" w:hAnsi="Arial"/>
        </w:rPr>
      </w:pPr>
      <w:r>
        <w:rPr>
          <w:rFonts w:eastAsia="TimesNewRoman,Bold" w:cs="TimesNewRoman,Bold" w:ascii="Arial" w:hAnsi="Arial"/>
          <w:i/>
          <w:szCs w:val="20"/>
        </w:rPr>
        <w:t xml:space="preserve">Rozporządzenie Ministra Administracji I Cyfryzacji </w:t>
      </w:r>
      <w:r>
        <w:rPr>
          <w:rFonts w:eastAsia="TimesNewRoman" w:cs="TimesNewRoman" w:ascii="Arial" w:hAnsi="Arial"/>
          <w:i/>
          <w:szCs w:val="20"/>
        </w:rPr>
        <w:t xml:space="preserve">z dnia 21 kwietnia 2015 r. </w:t>
      </w:r>
      <w:r>
        <w:rPr>
          <w:rFonts w:eastAsia="TimesNewRoman,Bold" w:cs="TimesNewRoman,Bold" w:ascii="Arial" w:hAnsi="Arial"/>
          <w:i/>
          <w:szCs w:val="20"/>
        </w:rPr>
        <w:t>w sprawie warunków technicznych, jakim powinny odpowiadać kanały technologiczne</w:t>
      </w:r>
    </w:p>
    <w:p>
      <w:pPr>
        <w:pStyle w:val="Normal"/>
        <w:rPr>
          <w:rFonts w:cs="Arial"/>
          <w:color w:val="000000"/>
          <w:szCs w:val="20"/>
        </w:rPr>
      </w:pPr>
      <w:r>
        <w:rPr>
          <w:rFonts w:ascii="Arial" w:hAnsi="Arial"/>
        </w:rPr>
      </w:r>
    </w:p>
    <w:sectPr>
      <w:footerReference w:type="default" r:id="rId2"/>
      <w:type w:val="nextPage"/>
      <w:pgSz w:w="11906" w:h="16838"/>
      <w:pgMar w:left="1417" w:right="1417" w:header="0" w:top="539" w:footer="709" w:bottom="1417" w:gutter="0"/>
      <w:pgNumType w:start="2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415615563"/>
    </w:sdtPr>
    <w:sdtContent>
      <w:p>
        <w:pPr>
          <w:pStyle w:val="Stopka"/>
          <w:jc w:val="center"/>
          <w:rPr/>
        </w:pPr>
        <w:r>
          <w:rPr/>
        </w:r>
      </w:p>
    </w:sdtContent>
  </w:sdt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1.4.%1. "/>
      <w:lvlJc w:val="left"/>
      <w:pPr>
        <w:ind w:left="283" w:hanging="283"/>
      </w:pPr>
      <w:rPr>
        <w:sz w:val="20"/>
        <w:i w:val="false"/>
        <w:u w:val="none"/>
        <w:b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2.2.%1. "/>
      <w:lvlJc w:val="left"/>
      <w:pPr>
        <w:ind w:left="283" w:hanging="283"/>
      </w:pPr>
      <w:rPr>
        <w:sz w:val="20"/>
        <w:i w:val="false"/>
        <w:u w:val="none"/>
        <w:b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"/>
      <w:lvlJc w:val="left"/>
      <w:pPr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2"/>
      <w:numFmt w:val="decimal"/>
      <w:lvlText w:val="%1."/>
      <w:lvlJc w:val="left"/>
      <w:pPr>
        <w:ind w:left="396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7"/>
      <w:numFmt w:val="decimal"/>
      <w:lvlText w:val="%1.%2."/>
      <w:lvlJc w:val="left"/>
      <w:pPr>
        <w:ind w:left="450" w:hanging="45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/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b6378"/>
    <w:pPr>
      <w:widowControl/>
      <w:bidi w:val="0"/>
      <w:spacing w:before="0" w:after="0"/>
      <w:jc w:val="left"/>
    </w:pPr>
    <w:rPr>
      <w:rFonts w:ascii="Cambria" w:hAnsi="Cambria" w:eastAsia="Calibri" w:cs="" w:cstheme="minorBidi" w:eastAsiaTheme="minorHAnsi"/>
      <w:i/>
      <w:color w:val="auto"/>
      <w:kern w:val="0"/>
      <w:sz w:val="20"/>
      <w:szCs w:val="22"/>
      <w:lang w:val="pl-PL" w:eastAsia="en-US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4b6378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"/>
    <w:next w:val="Normal"/>
    <w:link w:val="Nagwek2Znak"/>
    <w:qFormat/>
    <w:rsid w:val="004b6378"/>
    <w:pPr>
      <w:keepNext w:val="true"/>
      <w:overflowPunct w:val="true"/>
      <w:spacing w:before="120" w:after="120"/>
      <w:jc w:val="both"/>
      <w:textAlignment w:val="baseline"/>
      <w:outlineLvl w:val="1"/>
    </w:pPr>
    <w:rPr>
      <w:rFonts w:eastAsia="Times New Roman" w:cs="Times New Roman"/>
      <w:b/>
      <w:szCs w:val="20"/>
      <w:lang w:eastAsia="pl-PL"/>
    </w:rPr>
  </w:style>
  <w:style w:type="paragraph" w:styleId="Nagwek3">
    <w:name w:val="Heading 3"/>
    <w:basedOn w:val="Normal"/>
    <w:next w:val="Normal"/>
    <w:link w:val="Nagwek3Znak"/>
    <w:uiPriority w:val="9"/>
    <w:semiHidden/>
    <w:unhideWhenUsed/>
    <w:qFormat/>
    <w:rsid w:val="004b6378"/>
    <w:pPr>
      <w:keepNext w:val="true"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2Znak" w:customStyle="1">
    <w:name w:val="Nagłówek 2 Znak"/>
    <w:basedOn w:val="DefaultParagraphFont"/>
    <w:link w:val="Nagwek2"/>
    <w:qFormat/>
    <w:rsid w:val="004b6378"/>
    <w:rPr>
      <w:rFonts w:ascii="Cambria" w:hAnsi="Cambria" w:eastAsia="Times New Roman" w:cs="Times New Roman"/>
      <w:b/>
      <w:i/>
      <w:sz w:val="20"/>
      <w:szCs w:val="20"/>
      <w:lang w:eastAsia="pl-PL"/>
    </w:rPr>
  </w:style>
  <w:style w:type="character" w:styleId="PunktZnak" w:customStyle="1">
    <w:name w:val="Punkt Znak"/>
    <w:basedOn w:val="DefaultParagraphFont"/>
    <w:link w:val="Punkt"/>
    <w:qFormat/>
    <w:rsid w:val="004b6378"/>
    <w:rPr>
      <w:rFonts w:ascii="Cambria" w:hAnsi="Cambria" w:cs="Times New Roman"/>
      <w:b/>
      <w:bCs/>
      <w:i/>
      <w:sz w:val="20"/>
      <w:szCs w:val="20"/>
      <w:shd w:fill="E5E5E5" w:val="clear"/>
    </w:rPr>
  </w:style>
  <w:style w:type="character" w:styleId="STWiORZnak" w:customStyle="1">
    <w:name w:val="STWiOR Znak"/>
    <w:basedOn w:val="DefaultParagraphFont"/>
    <w:link w:val="STWiOR"/>
    <w:qFormat/>
    <w:rsid w:val="004b6378"/>
    <w:rPr>
      <w:rFonts w:ascii="Cambria" w:hAnsi="Cambria" w:eastAsia="Times New Roman" w:cs="Times New Roman"/>
      <w:b/>
      <w:i/>
      <w:caps/>
      <w:kern w:val="2"/>
      <w:szCs w:val="24"/>
      <w:lang w:eastAsia="pl-PL"/>
    </w:rPr>
  </w:style>
  <w:style w:type="character" w:styleId="Nagwek1Znak" w:customStyle="1">
    <w:name w:val="Nagłówek 1 Znak"/>
    <w:basedOn w:val="DefaultParagraphFont"/>
    <w:link w:val="Nagwek1"/>
    <w:uiPriority w:val="9"/>
    <w:qFormat/>
    <w:rsid w:val="004b6378"/>
    <w:rPr>
      <w:rFonts w:ascii="Cambria" w:hAnsi="Cambria" w:eastAsia="" w:cs="" w:asciiTheme="majorHAnsi" w:cstheme="majorBidi" w:eastAsiaTheme="majorEastAsia" w:hAnsiTheme="majorHAnsi"/>
      <w:b/>
      <w:bCs/>
      <w:i/>
      <w:color w:val="365F91" w:themeColor="accent1" w:themeShade="bf"/>
      <w:sz w:val="28"/>
      <w:szCs w:val="28"/>
    </w:rPr>
  </w:style>
  <w:style w:type="character" w:styleId="Nagwek3Znak" w:customStyle="1">
    <w:name w:val="Nagłówek 3 Znak"/>
    <w:basedOn w:val="DefaultParagraphFont"/>
    <w:link w:val="Nagwek3"/>
    <w:uiPriority w:val="9"/>
    <w:semiHidden/>
    <w:qFormat/>
    <w:rsid w:val="004b6378"/>
    <w:rPr>
      <w:rFonts w:ascii="Cambria" w:hAnsi="Cambria" w:eastAsia="" w:cs="" w:asciiTheme="majorHAnsi" w:cstheme="majorBidi" w:eastAsiaTheme="majorEastAsia" w:hAnsiTheme="majorHAnsi"/>
      <w:b/>
      <w:bCs/>
      <w:i/>
      <w:color w:val="4F81BD" w:themeColor="accent1"/>
      <w:sz w:val="20"/>
    </w:rPr>
  </w:style>
  <w:style w:type="character" w:styleId="PKT0Znak" w:customStyle="1">
    <w:name w:val="#PKT 0 Znak"/>
    <w:link w:val="PKT0"/>
    <w:qFormat/>
    <w:rsid w:val="00e44b64"/>
    <w:rPr>
      <w:rFonts w:ascii="Arial" w:hAnsi="Arial" w:eastAsia="Batang" w:cs="Times New Roman"/>
      <w:b/>
      <w:sz w:val="28"/>
      <w:szCs w:val="28"/>
    </w:rPr>
  </w:style>
  <w:style w:type="character" w:styleId="NagwekZnak" w:customStyle="1">
    <w:name w:val="Nagłówek Znak"/>
    <w:basedOn w:val="DefaultParagraphFont"/>
    <w:link w:val="Nagwek"/>
    <w:uiPriority w:val="99"/>
    <w:semiHidden/>
    <w:qFormat/>
    <w:rsid w:val="00e44b64"/>
    <w:rPr>
      <w:rFonts w:ascii="Cambria" w:hAnsi="Cambria"/>
      <w:i/>
      <w:sz w:val="20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e44b64"/>
    <w:rPr>
      <w:rFonts w:ascii="Cambria" w:hAnsi="Cambria"/>
      <w:i/>
      <w:sz w:val="2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unkt" w:customStyle="1">
    <w:name w:val="Punkt"/>
    <w:basedOn w:val="Normal"/>
    <w:link w:val="PunktZnak"/>
    <w:autoRedefine/>
    <w:qFormat/>
    <w:rsid w:val="004b6378"/>
    <w:pPr>
      <w:pBdr>
        <w:bottom w:val="single" w:sz="4" w:space="1" w:color="000000"/>
      </w:pBdr>
      <w:shd w:val="pct10" w:color="auto" w:fill="auto"/>
      <w:spacing w:before="120" w:after="120"/>
    </w:pPr>
    <w:rPr>
      <w:rFonts w:cs="Times New Roman"/>
      <w:b/>
      <w:bCs/>
      <w:szCs w:val="20"/>
    </w:rPr>
  </w:style>
  <w:style w:type="paragraph" w:styleId="STWiOR" w:customStyle="1">
    <w:name w:val="STWiOR"/>
    <w:basedOn w:val="Nagwek1"/>
    <w:link w:val="STWiORZnak"/>
    <w:qFormat/>
    <w:rsid w:val="004b6378"/>
    <w:pPr>
      <w:suppressAutoHyphens w:val="true"/>
      <w:overflowPunct w:val="true"/>
      <w:spacing w:before="120" w:after="120"/>
      <w:jc w:val="right"/>
      <w:textAlignment w:val="baseline"/>
    </w:pPr>
    <w:rPr>
      <w:rFonts w:ascii="Cambria" w:hAnsi="Cambria" w:eastAsia="Times New Roman" w:cs="Times New Roman"/>
      <w:bCs w:val="false"/>
      <w:caps/>
      <w:color w:val="auto"/>
      <w:kern w:val="2"/>
      <w:sz w:val="22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4b6378"/>
    <w:pPr>
      <w:spacing w:lineRule="auto" w:line="259" w:before="0" w:after="160"/>
      <w:ind w:left="720" w:hanging="0"/>
      <w:contextualSpacing/>
    </w:pPr>
    <w:rPr>
      <w:rFonts w:ascii="Calibri" w:hAnsi="Calibri" w:asciiTheme="minorHAnsi" w:hAnsiTheme="minorHAnsi"/>
      <w:i w:val="false"/>
    </w:rPr>
  </w:style>
  <w:style w:type="paragraph" w:styleId="Wyliczenie1" w:customStyle="1">
    <w:name w:val="wyliczenie 1"/>
    <w:basedOn w:val="ListBullet"/>
    <w:qFormat/>
    <w:rsid w:val="004b6378"/>
    <w:pPr>
      <w:tabs>
        <w:tab w:val="clear" w:pos="708"/>
        <w:tab w:val="left" w:pos="720" w:leader="none"/>
      </w:tabs>
      <w:spacing w:before="0" w:after="200"/>
    </w:pPr>
    <w:rPr>
      <w:rFonts w:ascii="Times New Roman" w:hAnsi="Times New Roman" w:eastAsia="Times New Roman" w:cs="Times New Roman"/>
      <w:i w:val="false"/>
      <w:sz w:val="24"/>
      <w:szCs w:val="20"/>
      <w:lang w:eastAsia="pl-PL"/>
    </w:rPr>
  </w:style>
  <w:style w:type="paragraph" w:styleId="ListBullet">
    <w:name w:val="List Bullet"/>
    <w:basedOn w:val="Normal"/>
    <w:uiPriority w:val="99"/>
    <w:semiHidden/>
    <w:unhideWhenUsed/>
    <w:qFormat/>
    <w:rsid w:val="004b6378"/>
    <w:pPr>
      <w:spacing w:before="0" w:after="0"/>
      <w:ind w:left="283" w:hanging="283"/>
      <w:contextualSpacing/>
    </w:pPr>
    <w:rPr/>
  </w:style>
  <w:style w:type="paragraph" w:styleId="PKT0" w:customStyle="1">
    <w:name w:val="#PKT 0"/>
    <w:basedOn w:val="Normal"/>
    <w:link w:val="PKT0Znak"/>
    <w:qFormat/>
    <w:rsid w:val="00e44b64"/>
    <w:pPr>
      <w:widowControl w:val="false"/>
      <w:spacing w:lineRule="auto" w:line="360"/>
      <w:ind w:firstLine="697"/>
      <w:outlineLvl w:val="1"/>
    </w:pPr>
    <w:rPr>
      <w:rFonts w:ascii="Arial" w:hAnsi="Arial" w:eastAsia="Batang" w:cs="Times New Roman"/>
      <w:b/>
      <w:i w:val="false"/>
      <w:sz w:val="28"/>
      <w:szCs w:val="28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semiHidden/>
    <w:unhideWhenUsed/>
    <w:rsid w:val="00e44b64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e44b64"/>
    <w:pPr>
      <w:tabs>
        <w:tab w:val="clear" w:pos="708"/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Application>LibreOffice/6.4.4.2$Windows_X86_64 LibreOffice_project/3d775be2011f3886db32dfd395a6a6d1ca2630ff</Application>
  <Pages>6</Pages>
  <Words>1819</Words>
  <Characters>11918</Characters>
  <CharactersWithSpaces>13668</CharactersWithSpaces>
  <Paragraphs>147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2020-05-03T16:05:00Z</dcterms:created>
  <dc:creator>Tadeusz Żądło</dc:creator>
  <dc:description/>
  <dc:language>pl-PL</dc:language>
  <cp:lastModifiedBy/>
  <dcterms:modified xsi:type="dcterms:W3CDTF">2020-06-17T13:25:46Z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